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BA" w:rsidRDefault="001C5FE9">
      <w:pPr>
        <w:pStyle w:val="a7"/>
        <w:jc w:val="center"/>
        <w:rPr>
          <w:rFonts w:eastAsia="標楷體"/>
          <w:sz w:val="40"/>
        </w:rPr>
      </w:pPr>
      <w:bookmarkStart w:id="0" w:name="_GoBack"/>
      <w:bookmarkEnd w:id="0"/>
      <w:r>
        <w:rPr>
          <w:rFonts w:eastAsia="標楷體"/>
          <w:sz w:val="40"/>
        </w:rPr>
        <w:t>固定地秤檢定執行作業要點</w:t>
      </w:r>
    </w:p>
    <w:p w:rsidR="00454EBA" w:rsidRDefault="00454EBA">
      <w:pPr>
        <w:pStyle w:val="a7"/>
        <w:jc w:val="center"/>
        <w:rPr>
          <w:rFonts w:eastAsia="標楷體"/>
          <w:sz w:val="40"/>
        </w:rPr>
      </w:pPr>
    </w:p>
    <w:p w:rsidR="00454EBA" w:rsidRDefault="001C5FE9">
      <w:pPr>
        <w:pStyle w:val="a7"/>
        <w:jc w:val="center"/>
      </w:pPr>
      <w:r>
        <w:rPr>
          <w:rFonts w:ascii="標楷體" w:eastAsia="標楷體" w:hAnsi="標楷體" w:cs="Arial"/>
          <w:bCs/>
          <w:color w:val="000000"/>
          <w:sz w:val="18"/>
          <w:szCs w:val="18"/>
        </w:rPr>
        <w:t>中華民國</w:t>
      </w:r>
      <w:r>
        <w:rPr>
          <w:rFonts w:ascii="標楷體" w:eastAsia="標楷體" w:hAnsi="標楷體" w:cs="Arial"/>
          <w:bCs/>
          <w:color w:val="000000"/>
          <w:sz w:val="18"/>
          <w:szCs w:val="18"/>
        </w:rPr>
        <w:t>107</w:t>
      </w:r>
      <w:r>
        <w:rPr>
          <w:rFonts w:ascii="標楷體" w:eastAsia="標楷體" w:hAnsi="標楷體" w:cs="Arial"/>
          <w:bCs/>
          <w:color w:val="000000"/>
          <w:sz w:val="18"/>
          <w:szCs w:val="18"/>
        </w:rPr>
        <w:t>年</w:t>
      </w:r>
      <w:r>
        <w:rPr>
          <w:rFonts w:ascii="標楷體" w:eastAsia="標楷體" w:hAnsi="標楷體" w:cs="Arial"/>
          <w:bCs/>
          <w:color w:val="000000"/>
          <w:sz w:val="18"/>
          <w:szCs w:val="18"/>
        </w:rPr>
        <w:t>9</w:t>
      </w:r>
      <w:r>
        <w:rPr>
          <w:rFonts w:ascii="標楷體" w:eastAsia="標楷體" w:hAnsi="標楷體" w:cs="Arial"/>
          <w:bCs/>
          <w:color w:val="000000"/>
          <w:sz w:val="18"/>
          <w:szCs w:val="18"/>
        </w:rPr>
        <w:t>月</w:t>
      </w:r>
      <w:r>
        <w:rPr>
          <w:rFonts w:ascii="標楷體" w:eastAsia="標楷體" w:hAnsi="標楷體" w:cs="Arial"/>
          <w:bCs/>
          <w:color w:val="000000"/>
          <w:sz w:val="18"/>
          <w:szCs w:val="18"/>
        </w:rPr>
        <w:t>4</w:t>
      </w:r>
      <w:r>
        <w:rPr>
          <w:rFonts w:ascii="標楷體" w:eastAsia="標楷體" w:hAnsi="標楷體" w:cs="Arial"/>
          <w:bCs/>
          <w:color w:val="000000"/>
          <w:sz w:val="18"/>
          <w:szCs w:val="18"/>
        </w:rPr>
        <w:t>日經濟部標準檢驗局</w:t>
      </w:r>
      <w:r>
        <w:rPr>
          <w:rFonts w:ascii="標楷體" w:eastAsia="標楷體" w:hAnsi="標楷體"/>
          <w:sz w:val="18"/>
          <w:szCs w:val="18"/>
        </w:rPr>
        <w:t>經標七字第</w:t>
      </w:r>
      <w:r>
        <w:rPr>
          <w:rFonts w:ascii="標楷體" w:eastAsia="標楷體" w:hAnsi="標楷體"/>
          <w:sz w:val="18"/>
          <w:szCs w:val="18"/>
        </w:rPr>
        <w:t>10770007980</w:t>
      </w:r>
      <w:r>
        <w:rPr>
          <w:rFonts w:ascii="標楷體" w:eastAsia="標楷體" w:hAnsi="標楷體"/>
          <w:sz w:val="18"/>
          <w:szCs w:val="18"/>
        </w:rPr>
        <w:t>號令</w:t>
      </w:r>
      <w:r>
        <w:rPr>
          <w:rFonts w:ascii="標楷體" w:eastAsia="標楷體" w:hAnsi="標楷體" w:cs="Arial"/>
          <w:bCs/>
          <w:color w:val="000000"/>
          <w:sz w:val="18"/>
          <w:szCs w:val="18"/>
        </w:rPr>
        <w:t>訂定發布全文</w:t>
      </w:r>
      <w:r>
        <w:rPr>
          <w:rFonts w:ascii="標楷體" w:eastAsia="標楷體" w:hAnsi="標楷體" w:cs="Arial"/>
          <w:bCs/>
          <w:color w:val="000000"/>
          <w:sz w:val="18"/>
          <w:szCs w:val="18"/>
        </w:rPr>
        <w:t>8</w:t>
      </w:r>
      <w:r>
        <w:rPr>
          <w:rFonts w:ascii="標楷體" w:eastAsia="標楷體" w:hAnsi="標楷體" w:cs="Arial"/>
          <w:bCs/>
          <w:color w:val="000000"/>
          <w:sz w:val="18"/>
          <w:szCs w:val="18"/>
        </w:rPr>
        <w:t>點，並自</w:t>
      </w:r>
      <w:r>
        <w:rPr>
          <w:rFonts w:ascii="標楷體" w:eastAsia="標楷體" w:hAnsi="標楷體" w:cs="Arial"/>
          <w:bCs/>
          <w:color w:val="000000"/>
          <w:sz w:val="18"/>
          <w:szCs w:val="18"/>
        </w:rPr>
        <w:t>107</w:t>
      </w:r>
      <w:r>
        <w:rPr>
          <w:rFonts w:ascii="標楷體" w:eastAsia="標楷體" w:hAnsi="標楷體" w:cs="Arial"/>
          <w:bCs/>
          <w:color w:val="000000"/>
          <w:sz w:val="18"/>
          <w:szCs w:val="18"/>
        </w:rPr>
        <w:t>年</w:t>
      </w:r>
      <w:r>
        <w:rPr>
          <w:rFonts w:ascii="標楷體" w:eastAsia="標楷體" w:hAnsi="標楷體" w:cs="Arial"/>
          <w:bCs/>
          <w:color w:val="000000"/>
          <w:sz w:val="18"/>
          <w:szCs w:val="18"/>
        </w:rPr>
        <w:t>10</w:t>
      </w:r>
      <w:r>
        <w:rPr>
          <w:rFonts w:ascii="標楷體" w:eastAsia="標楷體" w:hAnsi="標楷體" w:cs="Arial"/>
          <w:bCs/>
          <w:color w:val="000000"/>
          <w:sz w:val="18"/>
          <w:szCs w:val="18"/>
        </w:rPr>
        <w:t>月</w:t>
      </w:r>
      <w:r>
        <w:rPr>
          <w:rFonts w:ascii="標楷體" w:eastAsia="標楷體" w:hAnsi="標楷體" w:cs="Arial"/>
          <w:bCs/>
          <w:color w:val="000000"/>
          <w:sz w:val="18"/>
          <w:szCs w:val="18"/>
        </w:rPr>
        <w:t>1</w:t>
      </w:r>
      <w:r>
        <w:rPr>
          <w:rFonts w:ascii="標楷體" w:eastAsia="標楷體" w:hAnsi="標楷體" w:cs="Arial"/>
          <w:bCs/>
          <w:color w:val="000000"/>
          <w:sz w:val="18"/>
          <w:szCs w:val="18"/>
        </w:rPr>
        <w:t>日生效</w:t>
      </w:r>
    </w:p>
    <w:p w:rsidR="00454EBA" w:rsidRDefault="00454EBA">
      <w:pPr>
        <w:pStyle w:val="a7"/>
        <w:jc w:val="center"/>
        <w:rPr>
          <w:rFonts w:ascii="標楷體" w:eastAsia="標楷體" w:hAnsi="標楷體" w:cs="Arial"/>
          <w:bCs/>
          <w:color w:val="000000"/>
          <w:sz w:val="18"/>
          <w:szCs w:val="18"/>
        </w:rPr>
      </w:pPr>
    </w:p>
    <w:p w:rsidR="00454EBA" w:rsidRDefault="001C5FE9">
      <w:pPr>
        <w:pStyle w:val="a7"/>
        <w:spacing w:before="120" w:after="120"/>
      </w:pPr>
      <w:r>
        <w:rPr>
          <w:rFonts w:ascii="標楷體" w:eastAsia="標楷體" w:hAnsi="標楷體"/>
          <w:sz w:val="28"/>
          <w:szCs w:val="28"/>
        </w:rPr>
        <w:t>一、為健全度量衡專責機關執行固定地秤檢定作業，特訂定本要點。</w:t>
      </w:r>
    </w:p>
    <w:p w:rsidR="00454EBA" w:rsidRDefault="001C5FE9">
      <w:pPr>
        <w:pStyle w:val="a7"/>
        <w:overflowPunct w:val="0"/>
        <w:spacing w:before="120" w:after="120" w:line="320" w:lineRule="exact"/>
        <w:ind w:left="560" w:hanging="560"/>
        <w:jc w:val="both"/>
      </w:pPr>
      <w:r>
        <w:rPr>
          <w:rFonts w:ascii="標楷體" w:eastAsia="標楷體" w:hAnsi="標楷體"/>
          <w:sz w:val="28"/>
          <w:szCs w:val="28"/>
        </w:rPr>
        <w:t>二、申請固定地秤檢定時，申請人應檢附檢定申請書</w:t>
      </w:r>
      <w:r>
        <w:rPr>
          <w:rFonts w:ascii="標楷體" w:eastAsia="標楷體" w:hAnsi="標楷體"/>
          <w:sz w:val="28"/>
          <w:szCs w:val="28"/>
        </w:rPr>
        <w:t>(</w:t>
      </w:r>
      <w:r>
        <w:rPr>
          <w:rFonts w:ascii="標楷體" w:eastAsia="標楷體" w:hAnsi="標楷體"/>
          <w:sz w:val="28"/>
          <w:szCs w:val="28"/>
        </w:rPr>
        <w:t>如附件一</w:t>
      </w:r>
      <w:r>
        <w:rPr>
          <w:rFonts w:ascii="標楷體" w:eastAsia="標楷體" w:hAnsi="標楷體"/>
          <w:sz w:val="28"/>
          <w:szCs w:val="28"/>
        </w:rPr>
        <w:t>)</w:t>
      </w:r>
      <w:r>
        <w:rPr>
          <w:rFonts w:ascii="標楷體" w:eastAsia="標楷體" w:hAnsi="標楷體"/>
          <w:sz w:val="28"/>
          <w:szCs w:val="28"/>
        </w:rPr>
        <w:t>，連同檢定規費向度量衡專責機關申請；如委託他人代為辦理，須另檢附委託文件</w:t>
      </w:r>
      <w:r>
        <w:rPr>
          <w:rFonts w:ascii="標楷體" w:eastAsia="標楷體" w:hAnsi="標楷體"/>
          <w:sz w:val="28"/>
          <w:szCs w:val="28"/>
        </w:rPr>
        <w:t>(</w:t>
      </w:r>
      <w:r>
        <w:rPr>
          <w:rFonts w:ascii="標楷體" w:eastAsia="標楷體" w:hAnsi="標楷體"/>
          <w:sz w:val="28"/>
          <w:szCs w:val="28"/>
        </w:rPr>
        <w:t>如附件二或其他證明文件</w:t>
      </w:r>
      <w:r>
        <w:rPr>
          <w:rFonts w:ascii="標楷體" w:eastAsia="標楷體" w:hAnsi="標楷體"/>
          <w:sz w:val="28"/>
          <w:szCs w:val="28"/>
        </w:rPr>
        <w:t>)</w:t>
      </w:r>
      <w:r>
        <w:rPr>
          <w:rFonts w:ascii="標楷體" w:eastAsia="標楷體" w:hAnsi="標楷體"/>
          <w:sz w:val="28"/>
          <w:szCs w:val="28"/>
        </w:rPr>
        <w:t>。</w:t>
      </w:r>
    </w:p>
    <w:p w:rsidR="00454EBA" w:rsidRDefault="001C5FE9">
      <w:pPr>
        <w:pStyle w:val="a7"/>
        <w:tabs>
          <w:tab w:val="left" w:pos="0"/>
        </w:tabs>
        <w:spacing w:before="120" w:after="120" w:line="320" w:lineRule="exact"/>
        <w:jc w:val="both"/>
      </w:pPr>
      <w:r>
        <w:rPr>
          <w:rFonts w:ascii="標楷體" w:eastAsia="標楷體" w:hAnsi="標楷體"/>
          <w:sz w:val="28"/>
          <w:szCs w:val="28"/>
        </w:rPr>
        <w:t>三、執行固定地秤檢定作業前，檢定人員應備妥下列物品：</w:t>
      </w:r>
    </w:p>
    <w:p w:rsidR="00454EBA" w:rsidRDefault="001C5FE9">
      <w:pPr>
        <w:pStyle w:val="a7"/>
        <w:spacing w:before="120" w:after="120" w:line="320" w:lineRule="exact"/>
        <w:ind w:left="960" w:hanging="560"/>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識別證。</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檢定申請書。</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照相機。</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檢定紀錄表。</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檢定合格單。</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停止使用單。</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停用申請書（附件三）。</w:t>
      </w:r>
    </w:p>
    <w:p w:rsidR="00454EBA" w:rsidRDefault="001C5FE9">
      <w:pPr>
        <w:pStyle w:val="a7"/>
        <w:spacing w:before="120" w:after="120" w:line="320" w:lineRule="exact"/>
        <w:jc w:val="both"/>
        <w:rPr>
          <w:rFonts w:ascii="標楷體" w:eastAsia="標楷體" w:hAnsi="標楷體"/>
          <w:sz w:val="28"/>
          <w:szCs w:val="28"/>
        </w:rPr>
      </w:pPr>
      <w:r>
        <w:rPr>
          <w:rFonts w:ascii="標楷體" w:eastAsia="標楷體" w:hAnsi="標楷體"/>
          <w:sz w:val="28"/>
          <w:szCs w:val="28"/>
        </w:rPr>
        <w:t>四、度量衡專責機關執行檢定作業時，申請人應配合以下事項：</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未委託領有度量衡專責機關核發之衡器製造或修理業執照之業者</w:t>
      </w:r>
      <w:r>
        <w:rPr>
          <w:rFonts w:ascii="標楷體" w:eastAsia="標楷體" w:hAnsi="標楷體"/>
          <w:sz w:val="28"/>
          <w:szCs w:val="28"/>
        </w:rPr>
        <w:t>(</w:t>
      </w:r>
      <w:r>
        <w:rPr>
          <w:rFonts w:ascii="標楷體" w:eastAsia="標楷體" w:hAnsi="標楷體"/>
          <w:sz w:val="28"/>
          <w:szCs w:val="28"/>
        </w:rPr>
        <w:t>以下簡稱製造、修理業</w:t>
      </w:r>
      <w:r>
        <w:rPr>
          <w:rFonts w:ascii="標楷體" w:eastAsia="標楷體" w:hAnsi="標楷體"/>
          <w:sz w:val="28"/>
          <w:szCs w:val="28"/>
        </w:rPr>
        <w:t>)</w:t>
      </w:r>
      <w:r>
        <w:rPr>
          <w:rFonts w:ascii="標楷體" w:eastAsia="標楷體" w:hAnsi="標楷體"/>
          <w:sz w:val="28"/>
          <w:szCs w:val="28"/>
        </w:rPr>
        <w:t>，不得現場修理或調整。</w:t>
      </w:r>
    </w:p>
    <w:p w:rsidR="00454EBA" w:rsidRDefault="001C5FE9">
      <w:pPr>
        <w:pStyle w:val="a7"/>
        <w:overflowPunct w:val="0"/>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檢定過程中，應備妥足量替代物品；但因替代物品無法備齊時，</w:t>
      </w:r>
      <w:r>
        <w:rPr>
          <w:rFonts w:ascii="標楷體" w:eastAsia="標楷體" w:hAnsi="標楷體"/>
          <w:sz w:val="28"/>
          <w:szCs w:val="28"/>
        </w:rPr>
        <w:t xml:space="preserve">     </w:t>
      </w:r>
      <w:r>
        <w:rPr>
          <w:rFonts w:ascii="標楷體" w:eastAsia="標楷體" w:hAnsi="標楷體"/>
          <w:sz w:val="28"/>
          <w:szCs w:val="28"/>
        </w:rPr>
        <w:t>經固定地秤所有人同意後，得調降申請書之最大秤量。</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協助度量衡專責機關拍照作業。</w:t>
      </w:r>
    </w:p>
    <w:p w:rsidR="00454EBA" w:rsidRDefault="001C5FE9">
      <w:pPr>
        <w:pStyle w:val="a7"/>
        <w:spacing w:before="120" w:after="120" w:line="320" w:lineRule="exact"/>
        <w:jc w:val="both"/>
        <w:rPr>
          <w:rFonts w:ascii="標楷體" w:eastAsia="標楷體" w:hAnsi="標楷體"/>
          <w:sz w:val="28"/>
          <w:szCs w:val="28"/>
        </w:rPr>
      </w:pPr>
      <w:r>
        <w:rPr>
          <w:rFonts w:ascii="標楷體" w:eastAsia="標楷體" w:hAnsi="標楷體"/>
          <w:sz w:val="28"/>
          <w:szCs w:val="28"/>
        </w:rPr>
        <w:t>五、申請人委託製造、修理業於現場修理或調整時應共同配合以下事項：</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使用自有法碼者，提供二年內度量衡專責機關出具之校正</w:t>
      </w:r>
      <w:r>
        <w:rPr>
          <w:rFonts w:ascii="標楷體" w:eastAsia="標楷體" w:hAnsi="標楷體"/>
          <w:sz w:val="28"/>
          <w:szCs w:val="28"/>
        </w:rPr>
        <w:t>(</w:t>
      </w:r>
      <w:r>
        <w:rPr>
          <w:rFonts w:ascii="標楷體" w:eastAsia="標楷體" w:hAnsi="標楷體"/>
          <w:sz w:val="28"/>
          <w:szCs w:val="28"/>
        </w:rPr>
        <w:t>驗</w:t>
      </w:r>
      <w:r>
        <w:rPr>
          <w:rFonts w:ascii="標楷體" w:eastAsia="標楷體" w:hAnsi="標楷體"/>
          <w:sz w:val="28"/>
          <w:szCs w:val="28"/>
        </w:rPr>
        <w:t>)</w:t>
      </w:r>
      <w:r>
        <w:rPr>
          <w:rFonts w:ascii="標楷體" w:eastAsia="標楷體" w:hAnsi="標楷體"/>
          <w:sz w:val="28"/>
          <w:szCs w:val="28"/>
        </w:rPr>
        <w:t>報告或全國認證基金會認可校正實驗室出具之報告或經度量衡專責機關評估通過之自行校正報告。</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偏載檢定應於九十分鐘內完成。</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檢定過程中，應備妥足量替代物品；但因替代物品無法備齊時，經固定地秤所有人同意後，得調降申請書之最大秤量。</w:t>
      </w:r>
    </w:p>
    <w:p w:rsidR="00454EBA" w:rsidRDefault="001C5FE9">
      <w:pPr>
        <w:pStyle w:val="a7"/>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檢定時間自進行偏載檢定開始計算，應於二小時三十分內完成；但因天候等不可抗力之因素影響檢定作業，不在此限。</w:t>
      </w:r>
    </w:p>
    <w:p w:rsidR="00454EBA" w:rsidRDefault="001C5FE9">
      <w:pPr>
        <w:pStyle w:val="a7"/>
        <w:spacing w:before="120" w:after="120" w:line="320" w:lineRule="exact"/>
        <w:ind w:left="525" w:firstLine="525"/>
        <w:jc w:val="both"/>
        <w:rPr>
          <w:rFonts w:ascii="標楷體" w:eastAsia="標楷體" w:hAnsi="標楷體"/>
          <w:sz w:val="28"/>
          <w:szCs w:val="28"/>
        </w:rPr>
      </w:pPr>
      <w:r>
        <w:rPr>
          <w:rFonts w:ascii="標楷體" w:eastAsia="標楷體" w:hAnsi="標楷體"/>
          <w:sz w:val="28"/>
          <w:szCs w:val="28"/>
        </w:rPr>
        <w:t>申請人與製造、修理業未能共同配合提供第一款規定之報告或未能共同配合於第二款或第四款規定時間內完成檢定，視為檢定不合格。</w:t>
      </w:r>
    </w:p>
    <w:p w:rsidR="00454EBA" w:rsidRDefault="001C5FE9">
      <w:pPr>
        <w:pStyle w:val="30"/>
        <w:spacing w:before="120" w:after="120" w:line="320" w:lineRule="exact"/>
        <w:ind w:left="0" w:firstLine="0"/>
        <w:jc w:val="both"/>
        <w:rPr>
          <w:rFonts w:ascii="標楷體" w:eastAsia="標楷體" w:hAnsi="標楷體"/>
          <w:sz w:val="28"/>
          <w:szCs w:val="28"/>
        </w:rPr>
      </w:pPr>
      <w:r>
        <w:rPr>
          <w:rFonts w:ascii="標楷體" w:eastAsia="標楷體" w:hAnsi="標楷體"/>
          <w:sz w:val="28"/>
          <w:szCs w:val="28"/>
        </w:rPr>
        <w:t>六、度量衡專責機關執行檢定作業時，檢定</w:t>
      </w:r>
      <w:r>
        <w:rPr>
          <w:rFonts w:ascii="標楷體" w:eastAsia="標楷體" w:hAnsi="標楷體"/>
          <w:sz w:val="28"/>
          <w:szCs w:val="28"/>
        </w:rPr>
        <w:t>人員應辦理以下事項：</w:t>
      </w:r>
    </w:p>
    <w:p w:rsidR="00454EBA" w:rsidRDefault="001C5FE9">
      <w:pPr>
        <w:pStyle w:val="30"/>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申請人自備法碼時，事先確認法碼之可用性。</w:t>
      </w:r>
    </w:p>
    <w:p w:rsidR="00454EBA" w:rsidRDefault="001C5FE9">
      <w:pPr>
        <w:pStyle w:val="30"/>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通知申請人或受委託之製造、修理業者，開始執行偏載檢定時間，並登載於檢定紀錄表。</w:t>
      </w:r>
    </w:p>
    <w:p w:rsidR="00454EBA" w:rsidRDefault="001C5FE9">
      <w:pPr>
        <w:pStyle w:val="30"/>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檢定合格者，去除曾經檢定合格印證及附加檢定合格印證；檢定不合</w:t>
      </w:r>
      <w:r>
        <w:rPr>
          <w:rFonts w:ascii="標楷體" w:eastAsia="標楷體" w:hAnsi="標楷體"/>
          <w:sz w:val="28"/>
          <w:szCs w:val="28"/>
        </w:rPr>
        <w:t xml:space="preserve"> </w:t>
      </w:r>
      <w:r>
        <w:rPr>
          <w:rFonts w:ascii="標楷體" w:eastAsia="標楷體" w:hAnsi="標楷體"/>
          <w:sz w:val="28"/>
          <w:szCs w:val="28"/>
        </w:rPr>
        <w:t>格者，去除曾經檢定及檢查合格之印證。</w:t>
      </w:r>
    </w:p>
    <w:p w:rsidR="00454EBA" w:rsidRDefault="001C5FE9">
      <w:pPr>
        <w:pStyle w:val="30"/>
        <w:overflowPunct w:val="0"/>
        <w:spacing w:before="120" w:after="120" w:line="320" w:lineRule="exact"/>
        <w:ind w:left="96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須拍照檢定第一點</w:t>
      </w:r>
      <w:r>
        <w:rPr>
          <w:rFonts w:ascii="標楷體" w:eastAsia="標楷體" w:hAnsi="標楷體"/>
          <w:sz w:val="28"/>
          <w:szCs w:val="28"/>
        </w:rPr>
        <w:t>(</w:t>
      </w:r>
      <w:r>
        <w:rPr>
          <w:rFonts w:ascii="標楷體" w:eastAsia="標楷體" w:hAnsi="標楷體"/>
          <w:sz w:val="28"/>
          <w:szCs w:val="28"/>
        </w:rPr>
        <w:t>最大秤量之百分之十</w:t>
      </w:r>
      <w:r>
        <w:rPr>
          <w:rFonts w:ascii="標楷體" w:eastAsia="標楷體" w:hAnsi="標楷體"/>
          <w:sz w:val="28"/>
          <w:szCs w:val="28"/>
        </w:rPr>
        <w:t>)</w:t>
      </w:r>
      <w:r>
        <w:rPr>
          <w:rFonts w:ascii="標楷體" w:eastAsia="標楷體" w:hAnsi="標楷體"/>
          <w:sz w:val="28"/>
          <w:szCs w:val="28"/>
        </w:rPr>
        <w:t>及第五點</w:t>
      </w:r>
      <w:r>
        <w:rPr>
          <w:rFonts w:ascii="標楷體" w:eastAsia="標楷體" w:hAnsi="標楷體"/>
          <w:sz w:val="28"/>
          <w:szCs w:val="28"/>
        </w:rPr>
        <w:t>(</w:t>
      </w:r>
      <w:r>
        <w:rPr>
          <w:rFonts w:ascii="標楷體" w:eastAsia="標楷體" w:hAnsi="標楷體"/>
          <w:sz w:val="28"/>
          <w:szCs w:val="28"/>
        </w:rPr>
        <w:t>最大秤量</w:t>
      </w:r>
      <w:r>
        <w:rPr>
          <w:rFonts w:ascii="標楷體" w:eastAsia="標楷體" w:hAnsi="標楷體"/>
          <w:sz w:val="28"/>
          <w:szCs w:val="28"/>
        </w:rPr>
        <w:t>)</w:t>
      </w:r>
      <w:r>
        <w:rPr>
          <w:rFonts w:ascii="標楷體" w:eastAsia="標楷體" w:hAnsi="標楷體"/>
          <w:sz w:val="28"/>
          <w:szCs w:val="28"/>
        </w:rPr>
        <w:t>之顯示器顯示值及秤檯負載實物照片各一張，共四張，併檢定案件陳核歸檔。</w:t>
      </w:r>
    </w:p>
    <w:p w:rsidR="00454EBA" w:rsidRDefault="001C5FE9">
      <w:pPr>
        <w:pStyle w:val="a7"/>
        <w:spacing w:before="120" w:after="120" w:line="320" w:lineRule="exact"/>
        <w:jc w:val="both"/>
      </w:pPr>
      <w:r>
        <w:rPr>
          <w:rFonts w:ascii="標楷體" w:eastAsia="標楷體" w:hAnsi="標楷體"/>
          <w:sz w:val="28"/>
          <w:szCs w:val="28"/>
        </w:rPr>
        <w:t>七、固定地秤申請</w:t>
      </w:r>
      <w:r>
        <w:rPr>
          <w:rFonts w:ascii="標楷體" w:eastAsia="標楷體" w:hAnsi="標楷體"/>
          <w:bCs/>
          <w:sz w:val="28"/>
          <w:szCs w:val="28"/>
        </w:rPr>
        <w:t>重新</w:t>
      </w:r>
      <w:r>
        <w:rPr>
          <w:rFonts w:ascii="標楷體" w:eastAsia="標楷體" w:hAnsi="標楷體"/>
          <w:sz w:val="28"/>
          <w:szCs w:val="28"/>
        </w:rPr>
        <w:t>檢定時，應符合申請時之衡器檢定檢查技術規範。</w:t>
      </w:r>
    </w:p>
    <w:p w:rsidR="00454EBA" w:rsidRDefault="001C5FE9">
      <w:pPr>
        <w:pStyle w:val="a7"/>
        <w:tabs>
          <w:tab w:val="left" w:pos="-20"/>
        </w:tabs>
        <w:spacing w:before="120" w:after="120" w:line="320" w:lineRule="exact"/>
        <w:ind w:left="560" w:hanging="560"/>
        <w:jc w:val="both"/>
      </w:pPr>
      <w:r>
        <w:rPr>
          <w:rFonts w:ascii="標楷體" w:eastAsia="標楷體" w:hAnsi="標楷體" w:cs="細明體"/>
          <w:sz w:val="28"/>
          <w:szCs w:val="28"/>
        </w:rPr>
        <w:t>八</w:t>
      </w:r>
      <w:r>
        <w:rPr>
          <w:rFonts w:ascii="標楷體" w:eastAsia="標楷體" w:hAnsi="標楷體"/>
          <w:sz w:val="28"/>
          <w:szCs w:val="28"/>
        </w:rPr>
        <w:t>、</w:t>
      </w:r>
      <w:r>
        <w:rPr>
          <w:rFonts w:ascii="標楷體" w:eastAsia="標楷體" w:hAnsi="標楷體" w:cs="細明體"/>
          <w:sz w:val="28"/>
          <w:szCs w:val="28"/>
        </w:rPr>
        <w:t>固定地秤所有人或持有人因故暫停使用固定地秤時，應填具固定地秤停用</w:t>
      </w:r>
      <w:r>
        <w:rPr>
          <w:rFonts w:ascii="標楷體" w:eastAsia="標楷體" w:hAnsi="標楷體"/>
          <w:sz w:val="28"/>
          <w:szCs w:val="28"/>
        </w:rPr>
        <w:t>申請書</w:t>
      </w:r>
      <w:r>
        <w:rPr>
          <w:rFonts w:ascii="標楷體" w:eastAsia="標楷體" w:hAnsi="標楷體" w:cs="細明體"/>
          <w:sz w:val="28"/>
          <w:szCs w:val="28"/>
        </w:rPr>
        <w:t>向度量衡專責機關申請報備，經同意後，應加貼停止使用單</w:t>
      </w:r>
      <w:r>
        <w:rPr>
          <w:rFonts w:ascii="標楷體" w:eastAsia="標楷體" w:hAnsi="標楷體"/>
          <w:sz w:val="28"/>
          <w:szCs w:val="28"/>
        </w:rPr>
        <w:t>。</w:t>
      </w:r>
      <w:r>
        <w:rPr>
          <w:rFonts w:ascii="標楷體" w:eastAsia="標楷體" w:hAnsi="標楷體" w:cs="細明體"/>
          <w:sz w:val="28"/>
          <w:szCs w:val="28"/>
        </w:rPr>
        <w:t>經停用之固定地秤，如供計量使用時，應申請檢定。</w:t>
      </w:r>
    </w:p>
    <w:sectPr w:rsidR="00454EBA">
      <w:pgSz w:w="11906" w:h="16838"/>
      <w:pgMar w:top="1418" w:right="1191" w:bottom="1418" w:left="1191"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5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BA"/>
    <w:rsid w:val="001C5FE9"/>
    <w:rsid w:val="00454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kern w:val="2"/>
    </w:rPr>
  </w:style>
  <w:style w:type="character" w:customStyle="1" w:styleId="a4">
    <w:name w:val="頁尾 字元"/>
    <w:qFormat/>
    <w:rPr>
      <w:kern w:val="2"/>
    </w:rPr>
  </w:style>
  <w:style w:type="character" w:customStyle="1" w:styleId="3">
    <w:name w:val="本文縮排 3 字元"/>
    <w:qFormat/>
    <w:rPr>
      <w:kern w:val="2"/>
      <w:sz w:val="24"/>
    </w:rPr>
  </w:style>
  <w:style w:type="character" w:customStyle="1" w:styleId="a5">
    <w:name w:val="註解方塊文字 字元"/>
    <w:basedOn w:val="a0"/>
    <w:qFormat/>
    <w:rPr>
      <w:rFonts w:ascii="Cambria" w:eastAsia="新細明體" w:hAnsi="Cambria" w:cs="Times New Roman"/>
      <w:kern w:val="2"/>
      <w:sz w:val="18"/>
      <w:szCs w:val="18"/>
    </w:rPr>
  </w:style>
  <w:style w:type="character" w:customStyle="1" w:styleId="WWCharLFO1LVL1">
    <w:name w:val="WW_CharLFO1LVL1"/>
    <w:qFormat/>
    <w:rPr>
      <w:rFonts w:eastAsia="標楷體"/>
      <w:sz w:val="32"/>
    </w:rPr>
  </w:style>
  <w:style w:type="character" w:customStyle="1" w:styleId="WWCharLFO1LVL2">
    <w:name w:val="WW_CharLFO1LVL2"/>
    <w:qFormat/>
    <w:rPr>
      <w:strike w:val="0"/>
      <w:dstrike w:val="0"/>
      <w:lang w:val="en-US"/>
    </w:rPr>
  </w:style>
  <w:style w:type="character" w:customStyle="1" w:styleId="WWCharLFO2LVL4">
    <w:name w:val="WW_CharLFO2LVL4"/>
    <w:qFormat/>
    <w:rPr>
      <w:color w:val="FF0000"/>
    </w:rPr>
  </w:style>
  <w:style w:type="character" w:customStyle="1" w:styleId="WWCharLFO3LVL3">
    <w:name w:val="WW_CharLFO3LVL3"/>
    <w:qFormat/>
    <w:rPr>
      <w:lang w:val="en-US"/>
    </w:rPr>
  </w:style>
  <w:style w:type="character" w:customStyle="1" w:styleId="WWCharLFO4LVL1">
    <w:name w:val="WW_CharLFO4LVL1"/>
    <w:qFormat/>
    <w:rPr>
      <w:rFonts w:ascii="標楷體" w:eastAsia="標楷體" w:hAnsi="標楷體"/>
    </w:rPr>
  </w:style>
  <w:style w:type="character" w:customStyle="1" w:styleId="WWCharLFO6LVL1">
    <w:name w:val="WW_CharLFO6LVL1"/>
    <w:qFormat/>
    <w:rPr>
      <w:lang w:val="en-US"/>
    </w:rPr>
  </w:style>
  <w:style w:type="character" w:customStyle="1" w:styleId="WWCharLFO7LVL1">
    <w:name w:val="WW_CharLFO7LVL1"/>
    <w:qFormat/>
    <w:rPr>
      <w:lang w:val="en-US"/>
    </w:rPr>
  </w:style>
  <w:style w:type="character" w:customStyle="1" w:styleId="WWCharLFO8LVL1">
    <w:name w:val="WW_CharLFO8LVL1"/>
    <w:qFormat/>
    <w:rPr>
      <w:rFonts w:ascii="Wingdings" w:hAnsi="Wingdings"/>
    </w:rPr>
  </w:style>
  <w:style w:type="character" w:customStyle="1" w:styleId="WWCharLFO8LVL2">
    <w:name w:val="WW_CharLFO8LVL2"/>
    <w:qFormat/>
    <w:rPr>
      <w:rFonts w:ascii="Wingdings" w:hAnsi="Wingdings"/>
    </w:rPr>
  </w:style>
  <w:style w:type="character" w:customStyle="1" w:styleId="WWCharLFO8LVL3">
    <w:name w:val="WW_CharLFO8LVL3"/>
    <w:qFormat/>
    <w:rPr>
      <w:rFonts w:ascii="Wingdings" w:hAnsi="Wingdings"/>
    </w:rPr>
  </w:style>
  <w:style w:type="character" w:customStyle="1" w:styleId="WWCharLFO8LVL4">
    <w:name w:val="WW_CharLFO8LVL4"/>
    <w:qFormat/>
    <w:rPr>
      <w:rFonts w:ascii="Wingdings" w:hAnsi="Wingdings"/>
    </w:rPr>
  </w:style>
  <w:style w:type="character" w:customStyle="1" w:styleId="WWCharLFO8LVL5">
    <w:name w:val="WW_CharLFO8LVL5"/>
    <w:qFormat/>
    <w:rPr>
      <w:rFonts w:ascii="Wingdings" w:hAnsi="Wingdings"/>
    </w:rPr>
  </w:style>
  <w:style w:type="character" w:customStyle="1" w:styleId="WWCharLFO8LVL6">
    <w:name w:val="WW_CharLFO8LVL6"/>
    <w:qFormat/>
    <w:rPr>
      <w:rFonts w:ascii="Wingdings" w:hAnsi="Wingdings"/>
    </w:rPr>
  </w:style>
  <w:style w:type="character" w:customStyle="1" w:styleId="WWCharLFO8LVL7">
    <w:name w:val="WW_CharLFO8LVL7"/>
    <w:qFormat/>
    <w:rPr>
      <w:rFonts w:ascii="Wingdings" w:hAnsi="Wingdings"/>
    </w:rPr>
  </w:style>
  <w:style w:type="character" w:customStyle="1" w:styleId="WWCharLFO8LVL8">
    <w:name w:val="WW_CharLFO8LVL8"/>
    <w:qFormat/>
    <w:rPr>
      <w:rFonts w:ascii="Wingdings" w:hAnsi="Wingdings"/>
    </w:rPr>
  </w:style>
  <w:style w:type="character" w:customStyle="1" w:styleId="WWCharLFO8LVL9">
    <w:name w:val="WW_CharLFO8LVL9"/>
    <w:qFormat/>
    <w:rPr>
      <w:rFonts w:ascii="Wingdings" w:hAnsi="Wingdings"/>
    </w:rPr>
  </w:style>
  <w:style w:type="character" w:customStyle="1" w:styleId="WWCharLFO10LVL1">
    <w:name w:val="WW_CharLFO10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2LVL1">
    <w:name w:val="WW_CharLFO12LVL1"/>
    <w:qFormat/>
    <w:rPr>
      <w:rFonts w:ascii="Wingdings" w:hAnsi="Wingding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Wingdings" w:hAnsi="Wingdings"/>
    </w:rPr>
  </w:style>
  <w:style w:type="character" w:customStyle="1" w:styleId="WWCharLFO13LVL2">
    <w:name w:val="WW_CharLFO13LVL2"/>
    <w:qFormat/>
    <w:rPr>
      <w:rFonts w:ascii="Wingdings" w:hAnsi="Wingdings"/>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Wingdings" w:hAnsi="Wingdings"/>
    </w:rPr>
  </w:style>
  <w:style w:type="character" w:customStyle="1" w:styleId="WWCharLFO13LVL5">
    <w:name w:val="WW_CharLFO13LVL5"/>
    <w:qFormat/>
    <w:rPr>
      <w:rFonts w:ascii="Wingdings" w:hAnsi="Wingdings"/>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Wingdings" w:hAnsi="Wingdings"/>
    </w:rPr>
  </w:style>
  <w:style w:type="character" w:customStyle="1" w:styleId="WWCharLFO13LVL8">
    <w:name w:val="WW_CharLFO13LVL8"/>
    <w:qFormat/>
    <w:rPr>
      <w:rFonts w:ascii="Wingdings" w:hAnsi="Wingdings"/>
    </w:rPr>
  </w:style>
  <w:style w:type="character" w:customStyle="1" w:styleId="WWCharLFO13LVL9">
    <w:name w:val="WW_CharLFO13LVL9"/>
    <w:qFormat/>
    <w:rPr>
      <w:rFonts w:ascii="Wingdings" w:hAnsi="Wingdings"/>
    </w:rPr>
  </w:style>
  <w:style w:type="character" w:customStyle="1" w:styleId="a6">
    <w:name w:val="編號字元"/>
    <w:qFormat/>
  </w:style>
  <w:style w:type="paragraph" w:styleId="a7">
    <w:name w:val="Body Text"/>
    <w:pPr>
      <w:widowControl w:val="0"/>
      <w:suppressAutoHyphens/>
    </w:pPr>
    <w:rPr>
      <w:kern w:val="2"/>
      <w:sz w:val="24"/>
      <w:szCs w:val="24"/>
    </w:rPr>
  </w:style>
  <w:style w:type="paragraph" w:styleId="a8">
    <w:name w:val="header"/>
    <w:basedOn w:val="a7"/>
    <w:pPr>
      <w:tabs>
        <w:tab w:val="center" w:pos="4153"/>
        <w:tab w:val="right" w:pos="8306"/>
      </w:tabs>
      <w:snapToGrid w:val="0"/>
    </w:pPr>
    <w:rPr>
      <w:sz w:val="20"/>
      <w:szCs w:val="20"/>
    </w:rPr>
  </w:style>
  <w:style w:type="paragraph" w:styleId="a9">
    <w:name w:val="footer"/>
    <w:basedOn w:val="a7"/>
    <w:pPr>
      <w:tabs>
        <w:tab w:val="center" w:pos="4153"/>
        <w:tab w:val="right" w:pos="8306"/>
      </w:tabs>
      <w:snapToGrid w:val="0"/>
    </w:pPr>
    <w:rPr>
      <w:sz w:val="20"/>
      <w:szCs w:val="20"/>
    </w:rPr>
  </w:style>
  <w:style w:type="paragraph" w:customStyle="1" w:styleId="aa">
    <w:name w:val="a"/>
    <w:basedOn w:val="a7"/>
    <w:qFormat/>
    <w:pPr>
      <w:widowControl/>
    </w:pPr>
    <w:rPr>
      <w:rFonts w:ascii="Arial Unicode MS" w:eastAsia="Arial Unicode MS" w:hAnsi="Arial Unicode MS" w:cs="Arial Unicode MS"/>
      <w:color w:val="000000"/>
      <w:kern w:val="0"/>
    </w:rPr>
  </w:style>
  <w:style w:type="paragraph" w:styleId="ab">
    <w:name w:val="caption"/>
    <w:basedOn w:val="ac"/>
    <w:qFormat/>
    <w:pPr>
      <w:spacing w:before="120" w:after="120"/>
    </w:pPr>
    <w:rPr>
      <w:szCs w:val="20"/>
    </w:rPr>
  </w:style>
  <w:style w:type="paragraph" w:styleId="ac">
    <w:name w:val="List Bullet"/>
    <w:basedOn w:val="a7"/>
    <w:qFormat/>
    <w:pPr>
      <w:tabs>
        <w:tab w:val="left" w:pos="0"/>
      </w:tabs>
      <w:ind w:left="425" w:hanging="425"/>
    </w:pPr>
  </w:style>
  <w:style w:type="paragraph" w:styleId="30">
    <w:name w:val="Body Text Indent 3"/>
    <w:basedOn w:val="a7"/>
    <w:qFormat/>
    <w:pPr>
      <w:ind w:left="480" w:hanging="240"/>
    </w:pPr>
    <w:rPr>
      <w:szCs w:val="20"/>
    </w:rPr>
  </w:style>
  <w:style w:type="paragraph" w:styleId="ad">
    <w:name w:val="List Paragraph"/>
    <w:basedOn w:val="a7"/>
    <w:qFormat/>
    <w:pPr>
      <w:ind w:left="480"/>
    </w:pPr>
  </w:style>
  <w:style w:type="paragraph" w:styleId="ae">
    <w:name w:val="Balloon Text"/>
    <w:basedOn w:val="a7"/>
    <w:qFormat/>
    <w:rPr>
      <w:rFonts w:ascii="Cambria" w:hAnsi="Cambr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kern w:val="2"/>
    </w:rPr>
  </w:style>
  <w:style w:type="character" w:customStyle="1" w:styleId="a4">
    <w:name w:val="頁尾 字元"/>
    <w:qFormat/>
    <w:rPr>
      <w:kern w:val="2"/>
    </w:rPr>
  </w:style>
  <w:style w:type="character" w:customStyle="1" w:styleId="3">
    <w:name w:val="本文縮排 3 字元"/>
    <w:qFormat/>
    <w:rPr>
      <w:kern w:val="2"/>
      <w:sz w:val="24"/>
    </w:rPr>
  </w:style>
  <w:style w:type="character" w:customStyle="1" w:styleId="a5">
    <w:name w:val="註解方塊文字 字元"/>
    <w:basedOn w:val="a0"/>
    <w:qFormat/>
    <w:rPr>
      <w:rFonts w:ascii="Cambria" w:eastAsia="新細明體" w:hAnsi="Cambria" w:cs="Times New Roman"/>
      <w:kern w:val="2"/>
      <w:sz w:val="18"/>
      <w:szCs w:val="18"/>
    </w:rPr>
  </w:style>
  <w:style w:type="character" w:customStyle="1" w:styleId="WWCharLFO1LVL1">
    <w:name w:val="WW_CharLFO1LVL1"/>
    <w:qFormat/>
    <w:rPr>
      <w:rFonts w:eastAsia="標楷體"/>
      <w:sz w:val="32"/>
    </w:rPr>
  </w:style>
  <w:style w:type="character" w:customStyle="1" w:styleId="WWCharLFO1LVL2">
    <w:name w:val="WW_CharLFO1LVL2"/>
    <w:qFormat/>
    <w:rPr>
      <w:strike w:val="0"/>
      <w:dstrike w:val="0"/>
      <w:lang w:val="en-US"/>
    </w:rPr>
  </w:style>
  <w:style w:type="character" w:customStyle="1" w:styleId="WWCharLFO2LVL4">
    <w:name w:val="WW_CharLFO2LVL4"/>
    <w:qFormat/>
    <w:rPr>
      <w:color w:val="FF0000"/>
    </w:rPr>
  </w:style>
  <w:style w:type="character" w:customStyle="1" w:styleId="WWCharLFO3LVL3">
    <w:name w:val="WW_CharLFO3LVL3"/>
    <w:qFormat/>
    <w:rPr>
      <w:lang w:val="en-US"/>
    </w:rPr>
  </w:style>
  <w:style w:type="character" w:customStyle="1" w:styleId="WWCharLFO4LVL1">
    <w:name w:val="WW_CharLFO4LVL1"/>
    <w:qFormat/>
    <w:rPr>
      <w:rFonts w:ascii="標楷體" w:eastAsia="標楷體" w:hAnsi="標楷體"/>
    </w:rPr>
  </w:style>
  <w:style w:type="character" w:customStyle="1" w:styleId="WWCharLFO6LVL1">
    <w:name w:val="WW_CharLFO6LVL1"/>
    <w:qFormat/>
    <w:rPr>
      <w:lang w:val="en-US"/>
    </w:rPr>
  </w:style>
  <w:style w:type="character" w:customStyle="1" w:styleId="WWCharLFO7LVL1">
    <w:name w:val="WW_CharLFO7LVL1"/>
    <w:qFormat/>
    <w:rPr>
      <w:lang w:val="en-US"/>
    </w:rPr>
  </w:style>
  <w:style w:type="character" w:customStyle="1" w:styleId="WWCharLFO8LVL1">
    <w:name w:val="WW_CharLFO8LVL1"/>
    <w:qFormat/>
    <w:rPr>
      <w:rFonts w:ascii="Wingdings" w:hAnsi="Wingdings"/>
    </w:rPr>
  </w:style>
  <w:style w:type="character" w:customStyle="1" w:styleId="WWCharLFO8LVL2">
    <w:name w:val="WW_CharLFO8LVL2"/>
    <w:qFormat/>
    <w:rPr>
      <w:rFonts w:ascii="Wingdings" w:hAnsi="Wingdings"/>
    </w:rPr>
  </w:style>
  <w:style w:type="character" w:customStyle="1" w:styleId="WWCharLFO8LVL3">
    <w:name w:val="WW_CharLFO8LVL3"/>
    <w:qFormat/>
    <w:rPr>
      <w:rFonts w:ascii="Wingdings" w:hAnsi="Wingdings"/>
    </w:rPr>
  </w:style>
  <w:style w:type="character" w:customStyle="1" w:styleId="WWCharLFO8LVL4">
    <w:name w:val="WW_CharLFO8LVL4"/>
    <w:qFormat/>
    <w:rPr>
      <w:rFonts w:ascii="Wingdings" w:hAnsi="Wingdings"/>
    </w:rPr>
  </w:style>
  <w:style w:type="character" w:customStyle="1" w:styleId="WWCharLFO8LVL5">
    <w:name w:val="WW_CharLFO8LVL5"/>
    <w:qFormat/>
    <w:rPr>
      <w:rFonts w:ascii="Wingdings" w:hAnsi="Wingdings"/>
    </w:rPr>
  </w:style>
  <w:style w:type="character" w:customStyle="1" w:styleId="WWCharLFO8LVL6">
    <w:name w:val="WW_CharLFO8LVL6"/>
    <w:qFormat/>
    <w:rPr>
      <w:rFonts w:ascii="Wingdings" w:hAnsi="Wingdings"/>
    </w:rPr>
  </w:style>
  <w:style w:type="character" w:customStyle="1" w:styleId="WWCharLFO8LVL7">
    <w:name w:val="WW_CharLFO8LVL7"/>
    <w:qFormat/>
    <w:rPr>
      <w:rFonts w:ascii="Wingdings" w:hAnsi="Wingdings"/>
    </w:rPr>
  </w:style>
  <w:style w:type="character" w:customStyle="1" w:styleId="WWCharLFO8LVL8">
    <w:name w:val="WW_CharLFO8LVL8"/>
    <w:qFormat/>
    <w:rPr>
      <w:rFonts w:ascii="Wingdings" w:hAnsi="Wingdings"/>
    </w:rPr>
  </w:style>
  <w:style w:type="character" w:customStyle="1" w:styleId="WWCharLFO8LVL9">
    <w:name w:val="WW_CharLFO8LVL9"/>
    <w:qFormat/>
    <w:rPr>
      <w:rFonts w:ascii="Wingdings" w:hAnsi="Wingdings"/>
    </w:rPr>
  </w:style>
  <w:style w:type="character" w:customStyle="1" w:styleId="WWCharLFO10LVL1">
    <w:name w:val="WW_CharLFO10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2LVL1">
    <w:name w:val="WW_CharLFO12LVL1"/>
    <w:qFormat/>
    <w:rPr>
      <w:rFonts w:ascii="Wingdings" w:hAnsi="Wingding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Wingdings" w:hAnsi="Wingdings"/>
    </w:rPr>
  </w:style>
  <w:style w:type="character" w:customStyle="1" w:styleId="WWCharLFO13LVL2">
    <w:name w:val="WW_CharLFO13LVL2"/>
    <w:qFormat/>
    <w:rPr>
      <w:rFonts w:ascii="Wingdings" w:hAnsi="Wingdings"/>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Wingdings" w:hAnsi="Wingdings"/>
    </w:rPr>
  </w:style>
  <w:style w:type="character" w:customStyle="1" w:styleId="WWCharLFO13LVL5">
    <w:name w:val="WW_CharLFO13LVL5"/>
    <w:qFormat/>
    <w:rPr>
      <w:rFonts w:ascii="Wingdings" w:hAnsi="Wingdings"/>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Wingdings" w:hAnsi="Wingdings"/>
    </w:rPr>
  </w:style>
  <w:style w:type="character" w:customStyle="1" w:styleId="WWCharLFO13LVL8">
    <w:name w:val="WW_CharLFO13LVL8"/>
    <w:qFormat/>
    <w:rPr>
      <w:rFonts w:ascii="Wingdings" w:hAnsi="Wingdings"/>
    </w:rPr>
  </w:style>
  <w:style w:type="character" w:customStyle="1" w:styleId="WWCharLFO13LVL9">
    <w:name w:val="WW_CharLFO13LVL9"/>
    <w:qFormat/>
    <w:rPr>
      <w:rFonts w:ascii="Wingdings" w:hAnsi="Wingdings"/>
    </w:rPr>
  </w:style>
  <w:style w:type="character" w:customStyle="1" w:styleId="a6">
    <w:name w:val="編號字元"/>
    <w:qFormat/>
  </w:style>
  <w:style w:type="paragraph" w:styleId="a7">
    <w:name w:val="Body Text"/>
    <w:pPr>
      <w:widowControl w:val="0"/>
      <w:suppressAutoHyphens/>
    </w:pPr>
    <w:rPr>
      <w:kern w:val="2"/>
      <w:sz w:val="24"/>
      <w:szCs w:val="24"/>
    </w:rPr>
  </w:style>
  <w:style w:type="paragraph" w:styleId="a8">
    <w:name w:val="header"/>
    <w:basedOn w:val="a7"/>
    <w:pPr>
      <w:tabs>
        <w:tab w:val="center" w:pos="4153"/>
        <w:tab w:val="right" w:pos="8306"/>
      </w:tabs>
      <w:snapToGrid w:val="0"/>
    </w:pPr>
    <w:rPr>
      <w:sz w:val="20"/>
      <w:szCs w:val="20"/>
    </w:rPr>
  </w:style>
  <w:style w:type="paragraph" w:styleId="a9">
    <w:name w:val="footer"/>
    <w:basedOn w:val="a7"/>
    <w:pPr>
      <w:tabs>
        <w:tab w:val="center" w:pos="4153"/>
        <w:tab w:val="right" w:pos="8306"/>
      </w:tabs>
      <w:snapToGrid w:val="0"/>
    </w:pPr>
    <w:rPr>
      <w:sz w:val="20"/>
      <w:szCs w:val="20"/>
    </w:rPr>
  </w:style>
  <w:style w:type="paragraph" w:customStyle="1" w:styleId="aa">
    <w:name w:val="a"/>
    <w:basedOn w:val="a7"/>
    <w:qFormat/>
    <w:pPr>
      <w:widowControl/>
    </w:pPr>
    <w:rPr>
      <w:rFonts w:ascii="Arial Unicode MS" w:eastAsia="Arial Unicode MS" w:hAnsi="Arial Unicode MS" w:cs="Arial Unicode MS"/>
      <w:color w:val="000000"/>
      <w:kern w:val="0"/>
    </w:rPr>
  </w:style>
  <w:style w:type="paragraph" w:styleId="ab">
    <w:name w:val="caption"/>
    <w:basedOn w:val="ac"/>
    <w:qFormat/>
    <w:pPr>
      <w:spacing w:before="120" w:after="120"/>
    </w:pPr>
    <w:rPr>
      <w:szCs w:val="20"/>
    </w:rPr>
  </w:style>
  <w:style w:type="paragraph" w:styleId="ac">
    <w:name w:val="List Bullet"/>
    <w:basedOn w:val="a7"/>
    <w:qFormat/>
    <w:pPr>
      <w:tabs>
        <w:tab w:val="left" w:pos="0"/>
      </w:tabs>
      <w:ind w:left="425" w:hanging="425"/>
    </w:pPr>
  </w:style>
  <w:style w:type="paragraph" w:styleId="30">
    <w:name w:val="Body Text Indent 3"/>
    <w:basedOn w:val="a7"/>
    <w:qFormat/>
    <w:pPr>
      <w:ind w:left="480" w:hanging="240"/>
    </w:pPr>
    <w:rPr>
      <w:szCs w:val="20"/>
    </w:rPr>
  </w:style>
  <w:style w:type="paragraph" w:styleId="ad">
    <w:name w:val="List Paragraph"/>
    <w:basedOn w:val="a7"/>
    <w:qFormat/>
    <w:pPr>
      <w:ind w:left="480"/>
    </w:pPr>
  </w:style>
  <w:style w:type="paragraph" w:styleId="ae">
    <w:name w:val="Balloon Text"/>
    <w:basedOn w:val="a7"/>
    <w:qFormat/>
    <w:rPr>
      <w:rFonts w:ascii="Cambria" w:hAnsi="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度量衡器型式認證管理辦法第二條修正草案</dc:title>
  <dc:creator>標準檢驗局</dc:creator>
  <cp:lastModifiedBy>Win7pro</cp:lastModifiedBy>
  <cp:revision>2</cp:revision>
  <cp:lastPrinted>2018-08-30T17:57:00Z</cp:lastPrinted>
  <dcterms:created xsi:type="dcterms:W3CDTF">2018-09-05T03:44:00Z</dcterms:created>
  <dcterms:modified xsi:type="dcterms:W3CDTF">2018-09-05T03:44:00Z</dcterms:modified>
  <dc:language>zh-TW</dc:language>
</cp:coreProperties>
</file>